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A882" w14:textId="77777777" w:rsidR="009B396B" w:rsidRDefault="009B396B" w:rsidP="00E674AF">
      <w:pPr>
        <w:spacing w:line="-230" w:lineRule="auto"/>
        <w:ind w:left="540" w:hanging="540"/>
        <w:jc w:val="center"/>
        <w:rPr>
          <w:rFonts w:ascii="Arial" w:hAnsi="Arial"/>
        </w:rPr>
      </w:pPr>
      <w:r>
        <w:rPr>
          <w:rFonts w:ascii="Arial" w:hAnsi="Arial"/>
        </w:rPr>
        <w:t xml:space="preserve">______________ </w:t>
      </w:r>
      <w:smartTag w:uri="urn:schemas-microsoft-com:office:smarttags" w:element="PlaceType">
        <w:r>
          <w:rPr>
            <w:rFonts w:ascii="Arial" w:hAnsi="Arial"/>
          </w:rPr>
          <w:t>COUNTY</w:t>
        </w:r>
      </w:smartTag>
    </w:p>
    <w:p w14:paraId="16F26336" w14:textId="77777777" w:rsidR="009B396B" w:rsidRDefault="009B396B"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 xml:space="preserve">NOTES TO </w:t>
      </w:r>
      <w:r w:rsidR="00944E2E">
        <w:rPr>
          <w:rFonts w:ascii="Arial" w:hAnsi="Arial"/>
        </w:rPr>
        <w:t xml:space="preserve">THE </w:t>
      </w:r>
      <w:r>
        <w:rPr>
          <w:rFonts w:ascii="Arial" w:hAnsi="Arial"/>
        </w:rPr>
        <w:t>SUPPLEMENTARY INFORMATION</w:t>
      </w:r>
    </w:p>
    <w:p w14:paraId="6BD4DC3E" w14:textId="77777777" w:rsidR="009B396B" w:rsidRDefault="009B396B"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Schedules of Budgetary Comparisons for the General Fund</w:t>
      </w:r>
    </w:p>
    <w:p w14:paraId="60121741" w14:textId="77777777" w:rsidR="009B396B" w:rsidRDefault="00E674AF"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and for each major Special Revenue Fund with a legally required budget</w:t>
      </w:r>
    </w:p>
    <w:p w14:paraId="311305A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1CBFCB5" w14:textId="77777777" w:rsidR="00B809EF" w:rsidRDefault="00B809EF"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9AA71F6" w14:textId="77777777" w:rsidR="009B396B" w:rsidRDefault="00AF5D9F" w:rsidP="00AF5D9F">
      <w:pPr>
        <w:tabs>
          <w:tab w:val="left" w:pos="-144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Note 1</w:t>
      </w:r>
      <w:r w:rsidR="00B809EF">
        <w:rPr>
          <w:rFonts w:ascii="Arial" w:hAnsi="Arial"/>
        </w:rPr>
        <w:t>.</w:t>
      </w:r>
      <w:r w:rsidR="009B396B">
        <w:rPr>
          <w:rFonts w:ascii="Arial" w:hAnsi="Arial"/>
        </w:rPr>
        <w:tab/>
      </w:r>
      <w:r w:rsidR="009B396B">
        <w:rPr>
          <w:rFonts w:ascii="Arial" w:hAnsi="Arial"/>
          <w:u w:val="single"/>
        </w:rPr>
        <w:t>Budgets and Budgetary Accounting</w:t>
      </w:r>
      <w:r w:rsidR="009B396B">
        <w:rPr>
          <w:rFonts w:ascii="Arial" w:hAnsi="Arial"/>
        </w:rPr>
        <w:t>:</w:t>
      </w:r>
    </w:p>
    <w:p w14:paraId="2AE2CBC7"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9B049DD"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County follows these procedures in establishing the budgetary data reflected in the financial statements:</w:t>
      </w:r>
    </w:p>
    <w:p w14:paraId="5B0E8271"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6AF1D1D"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1.</w:t>
      </w:r>
      <w:r>
        <w:rPr>
          <w:rFonts w:ascii="Arial" w:hAnsi="Arial"/>
        </w:rPr>
        <w:tab/>
        <w:t>Between the fifteenth and thirtieth days of July in</w:t>
      </w:r>
      <w:r w:rsidR="00753A94">
        <w:rPr>
          <w:rFonts w:ascii="Arial" w:hAnsi="Arial"/>
        </w:rPr>
        <w:t xml:space="preserve"> each year the Board of County C</w:t>
      </w:r>
      <w:r>
        <w:rPr>
          <w:rFonts w:ascii="Arial" w:hAnsi="Arial"/>
        </w:rPr>
        <w:t>ommissioners prepares and files with the County Auditor a provisional budget for the following year, containing a detailed estimate of cash balances, revenues</w:t>
      </w:r>
      <w:r w:rsidR="00B809EF">
        <w:rPr>
          <w:rFonts w:ascii="Arial" w:hAnsi="Arial"/>
        </w:rPr>
        <w:t>,</w:t>
      </w:r>
      <w:r>
        <w:rPr>
          <w:rFonts w:ascii="Arial" w:hAnsi="Arial"/>
        </w:rPr>
        <w:t xml:space="preserve"> and expenditures.</w:t>
      </w:r>
    </w:p>
    <w:p w14:paraId="16FCC93D"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AC0EB9E"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2.</w:t>
      </w:r>
      <w:r>
        <w:rPr>
          <w:rFonts w:ascii="Arial" w:hAnsi="Arial"/>
        </w:rPr>
        <w:tab/>
        <w:t>Prior to the first Tuesday in September in each year a notice of budget hearing is published once each week for two successive weeks, and the text of the provisional budget is published with the first publication.</w:t>
      </w:r>
    </w:p>
    <w:p w14:paraId="561C1105"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DC5DA24"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3.</w:t>
      </w:r>
      <w:r>
        <w:rPr>
          <w:rFonts w:ascii="Arial" w:hAnsi="Arial"/>
        </w:rPr>
        <w:tab/>
        <w:t>The Board of County Commissioners holds a meeting for the purpose of considering the provisional budget on or prior to the first Tuesday in September in each year.  Such hearings must be concluded by October first.  Changes made to the provisional budget are entered at length in the minutes of the Board of County Commissioners.</w:t>
      </w:r>
    </w:p>
    <w:p w14:paraId="7A4E4B1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8A31A5B"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4.</w:t>
      </w:r>
      <w:r>
        <w:rPr>
          <w:rFonts w:ascii="Arial" w:hAnsi="Arial"/>
        </w:rPr>
        <w:tab/>
        <w:t xml:space="preserve">Before October first of each year the Board of County Commissioners adopts an annual budget for the ensuing year.  The adopted budget is filed in the office of the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Auditor</w:t>
          </w:r>
        </w:smartTag>
      </w:smartTag>
      <w:r>
        <w:rPr>
          <w:rFonts w:ascii="Arial" w:hAnsi="Arial"/>
        </w:rPr>
        <w:t>.</w:t>
      </w:r>
    </w:p>
    <w:p w14:paraId="1436D1AE"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616B1AB"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5.</w:t>
      </w:r>
      <w:r>
        <w:rPr>
          <w:rFonts w:ascii="Arial" w:hAnsi="Arial"/>
        </w:rPr>
        <w:tab/>
        <w:t>After adoption by the Board of County Commissioners, the operating budget is legally binding and actual expenditures for each purpose cannot exceed the amounts budgeted, except as indicated in number 7.</w:t>
      </w:r>
    </w:p>
    <w:p w14:paraId="7FAA9C19"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F33670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6.</w:t>
      </w:r>
      <w:r>
        <w:rPr>
          <w:rFonts w:ascii="Arial" w:hAnsi="Arial"/>
        </w:rPr>
        <w:tab/>
        <w:t>A line item for contingencies may be included in the annual budget.  Such a line item may not exceed 5 percent of the total county budget.</w:t>
      </w:r>
    </w:p>
    <w:p w14:paraId="0203C8B8"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637DA29"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7.</w:t>
      </w:r>
      <w:r>
        <w:rPr>
          <w:rFonts w:ascii="Arial" w:hAnsi="Arial"/>
        </w:rPr>
        <w:tab/>
        <w:t xml:space="preserve">If it is determined during the year that sufficient amounts have not been budgeted, state statute allows the adoption of supplemental budgets. </w:t>
      </w:r>
    </w:p>
    <w:p w14:paraId="07B95441"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6BE207AB"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8.</w:t>
      </w:r>
      <w:r>
        <w:rPr>
          <w:rFonts w:ascii="Arial" w:hAnsi="Arial"/>
        </w:rPr>
        <w:tab/>
        <w:t>Unexpended appropriations lapse at year end unless encumbered by resolution of the Board of County Commissioners.</w:t>
      </w:r>
    </w:p>
    <w:p w14:paraId="594D24F4"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F8F8BF7" w14:textId="77777777" w:rsidR="009B396B" w:rsidRDefault="00AF5D9F"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w:t>
      </w:r>
      <w:r w:rsidR="009B396B">
        <w:rPr>
          <w:rFonts w:ascii="Arial" w:hAnsi="Arial"/>
        </w:rPr>
        <w:t>9.</w:t>
      </w:r>
      <w:r w:rsidR="009B396B">
        <w:rPr>
          <w:rFonts w:ascii="Arial" w:hAnsi="Arial"/>
        </w:rPr>
        <w:tab/>
        <w:t xml:space="preserve">Formal budgetary integration is employed as a management control device during the year for the General Fund and special revenue funds.  </w:t>
      </w:r>
    </w:p>
    <w:p w14:paraId="40F96F14" w14:textId="77777777" w:rsidR="009B396B" w:rsidRDefault="009B396B" w:rsidP="00C3428B">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3C271EEB" w14:textId="77777777" w:rsidR="00255757" w:rsidRDefault="00255757" w:rsidP="00C3428B">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43D9F03E" w14:textId="77777777" w:rsidR="009B396B" w:rsidRDefault="00AF5D9F" w:rsidP="00AF5D9F">
      <w:pPr>
        <w:tabs>
          <w:tab w:val="left" w:pos="1080"/>
          <w:tab w:val="left" w:pos="1800"/>
          <w:tab w:val="left" w:pos="2400"/>
          <w:tab w:val="left" w:pos="3000"/>
          <w:tab w:val="left" w:pos="3600"/>
          <w:tab w:val="left" w:pos="4200"/>
          <w:tab w:val="left" w:pos="4800"/>
          <w:tab w:val="left" w:pos="5400"/>
          <w:tab w:val="left" w:pos="6000"/>
          <w:tab w:val="left" w:pos="6600"/>
          <w:tab w:val="left" w:pos="7200"/>
        </w:tabs>
        <w:ind w:left="540" w:hanging="540"/>
        <w:rPr>
          <w:rFonts w:ascii="Arial" w:hAnsi="Arial"/>
          <w:b/>
        </w:rPr>
      </w:pPr>
      <w:r>
        <w:rPr>
          <w:rFonts w:ascii="Arial" w:hAnsi="Arial"/>
        </w:rPr>
        <w:t>Note 2</w:t>
      </w:r>
      <w:r w:rsidR="009B396B">
        <w:rPr>
          <w:rFonts w:ascii="Arial" w:hAnsi="Arial"/>
        </w:rPr>
        <w:tab/>
      </w:r>
      <w:r w:rsidR="009B396B" w:rsidRPr="00AF5D9F">
        <w:rPr>
          <w:rFonts w:ascii="Arial" w:hAnsi="Arial"/>
          <w:u w:val="single"/>
        </w:rPr>
        <w:t>E</w:t>
      </w:r>
      <w:r w:rsidRPr="00AF5D9F">
        <w:rPr>
          <w:rFonts w:ascii="Arial" w:hAnsi="Arial"/>
          <w:u w:val="single"/>
        </w:rPr>
        <w:t>xpenditures in Excess of Appropriations</w:t>
      </w:r>
      <w:r w:rsidR="009B396B">
        <w:rPr>
          <w:rFonts w:ascii="Arial" w:hAnsi="Arial"/>
        </w:rPr>
        <w:t>:</w:t>
      </w:r>
    </w:p>
    <w:p w14:paraId="1AE25052" w14:textId="77777777" w:rsidR="009B396B"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rPr>
      </w:pPr>
    </w:p>
    <w:p w14:paraId="77300C70" w14:textId="77777777" w:rsidR="009B396B" w:rsidRDefault="009B396B" w:rsidP="00AF5D9F">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080"/>
        <w:rPr>
          <w:rFonts w:ascii="Arial" w:hAnsi="Arial"/>
        </w:rPr>
      </w:pPr>
      <w:r>
        <w:rPr>
          <w:rFonts w:ascii="Arial" w:hAnsi="Arial"/>
        </w:rPr>
        <w:t xml:space="preserve">The following represents the overdrafts of the expenditures compared to appropriations at the legal level of budgetary control: </w:t>
      </w:r>
    </w:p>
    <w:p w14:paraId="095A1CCD" w14:textId="77777777" w:rsidR="009B396B" w:rsidRPr="005A1976"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Pr>
          <w:rFonts w:ascii="Arial" w:hAnsi="Arial" w:cs="Arial"/>
        </w:rPr>
      </w:pPr>
      <w:r>
        <w:rPr>
          <w:rFonts w:ascii="Arial" w:hAnsi="Arial"/>
        </w:rPr>
        <w:fldChar w:fldCharType="begin"/>
      </w:r>
      <w:r>
        <w:rPr>
          <w:rFonts w:ascii="Arial" w:hAnsi="Arial"/>
        </w:rPr>
        <w:instrText>ADVANCE \u6</w:instrText>
      </w:r>
      <w:r>
        <w:rPr>
          <w:rFonts w:ascii="Arial" w:hAnsi="Arial"/>
        </w:rPr>
        <w:fldChar w:fldCharType="end"/>
      </w:r>
    </w:p>
    <w:p w14:paraId="610F9E8A" w14:textId="77777777" w:rsidR="009B396B" w:rsidRPr="005A1976"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Pr>
          <w:rFonts w:ascii="Arial" w:hAnsi="Arial" w:cs="Arial"/>
        </w:rPr>
      </w:pPr>
      <w:r w:rsidRPr="005A1976">
        <w:rPr>
          <w:rFonts w:ascii="Arial" w:hAnsi="Arial" w:cs="Arial"/>
          <w:b/>
        </w:rPr>
        <w:t xml:space="preserve">[If the Budgetary </w:t>
      </w:r>
      <w:r w:rsidR="00216B9B">
        <w:rPr>
          <w:rFonts w:ascii="Arial" w:hAnsi="Arial" w:cs="Arial"/>
          <w:b/>
        </w:rPr>
        <w:t>S</w:t>
      </w:r>
      <w:r w:rsidRPr="005A1976">
        <w:rPr>
          <w:rFonts w:ascii="Arial" w:hAnsi="Arial" w:cs="Arial"/>
          <w:b/>
        </w:rPr>
        <w:t>chedules include a “Variance” column (variance between final budget and actual amounts), this note should be deleted.)]</w:t>
      </w:r>
      <w:r w:rsidRPr="005A1976">
        <w:rPr>
          <w:rFonts w:ascii="Arial" w:hAnsi="Arial" w:cs="Arial"/>
        </w:rPr>
        <w:t xml:space="preserve"> </w:t>
      </w:r>
    </w:p>
    <w:p w14:paraId="2F420B92" w14:textId="77777777" w:rsidR="009B396B"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r w:rsidRPr="005A1976">
        <w:rPr>
          <w:rFonts w:ascii="Arial" w:hAnsi="Arial" w:cs="Arial"/>
        </w:rPr>
        <w:fldChar w:fldCharType="begin"/>
      </w:r>
      <w:r w:rsidRPr="005A1976">
        <w:rPr>
          <w:rFonts w:ascii="Arial" w:hAnsi="Arial" w:cs="Arial"/>
        </w:rPr>
        <w:instrText>ADVANCE \u6</w:instrText>
      </w:r>
      <w:r w:rsidRPr="005A1976">
        <w:rPr>
          <w:rFonts w:ascii="Arial" w:hAnsi="Arial" w:cs="Arial"/>
        </w:rPr>
        <w:fldChar w:fldCharType="end"/>
      </w:r>
    </w:p>
    <w:p w14:paraId="13C2A80C" w14:textId="77777777" w:rsidR="00AF5D9F" w:rsidRDefault="00AF5D9F"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tbl>
      <w:tblPr>
        <w:tblStyle w:val="TableGrid"/>
        <w:tblW w:w="8208" w:type="dxa"/>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1440"/>
        <w:gridCol w:w="270"/>
        <w:gridCol w:w="1422"/>
        <w:gridCol w:w="18"/>
      </w:tblGrid>
      <w:tr w:rsidR="00AF5D9F" w14:paraId="09B314BD" w14:textId="77777777" w:rsidTr="00AF5D9F">
        <w:trPr>
          <w:gridAfter w:val="1"/>
          <w:wAfter w:w="18" w:type="dxa"/>
        </w:trPr>
        <w:tc>
          <w:tcPr>
            <w:tcW w:w="5058" w:type="dxa"/>
            <w:vAlign w:val="bottom"/>
          </w:tcPr>
          <w:p w14:paraId="2DB59D31" w14:textId="77777777" w:rsidR="00AF5D9F" w:rsidRDefault="00AF5D9F">
            <w:pPr>
              <w:rPr>
                <w:rFonts w:ascii="Arial" w:hAnsi="Arial" w:cs="Arial"/>
              </w:rPr>
            </w:pPr>
          </w:p>
        </w:tc>
        <w:tc>
          <w:tcPr>
            <w:tcW w:w="3132" w:type="dxa"/>
            <w:gridSpan w:val="3"/>
            <w:tcBorders>
              <w:top w:val="nil"/>
              <w:left w:val="nil"/>
              <w:bottom w:val="single" w:sz="4" w:space="0" w:color="auto"/>
              <w:right w:val="nil"/>
            </w:tcBorders>
            <w:vAlign w:val="bottom"/>
            <w:hideMark/>
          </w:tcPr>
          <w:p w14:paraId="2B5C298F" w14:textId="77777777" w:rsidR="00AF5D9F" w:rsidRDefault="00AF5D9F">
            <w:pPr>
              <w:jc w:val="center"/>
              <w:rPr>
                <w:rFonts w:ascii="Arial" w:hAnsi="Arial" w:cs="Arial"/>
                <w:b/>
              </w:rPr>
            </w:pPr>
            <w:r>
              <w:rPr>
                <w:rFonts w:ascii="Arial" w:hAnsi="Arial" w:cs="Arial"/>
                <w:b/>
              </w:rPr>
              <w:t>Expenditure in Excess of Appropriations</w:t>
            </w:r>
          </w:p>
        </w:tc>
      </w:tr>
      <w:tr w:rsidR="00AF5D9F" w14:paraId="6032DF0B" w14:textId="77777777" w:rsidTr="00AF5D9F">
        <w:tc>
          <w:tcPr>
            <w:tcW w:w="5058" w:type="dxa"/>
            <w:vAlign w:val="bottom"/>
          </w:tcPr>
          <w:p w14:paraId="362F5C92" w14:textId="77777777" w:rsidR="00AF5D9F" w:rsidRDefault="00AF5D9F">
            <w:pPr>
              <w:rPr>
                <w:rFonts w:ascii="Arial" w:hAnsi="Arial" w:cs="Arial"/>
              </w:rPr>
            </w:pPr>
          </w:p>
        </w:tc>
        <w:tc>
          <w:tcPr>
            <w:tcW w:w="1440" w:type="dxa"/>
            <w:tcBorders>
              <w:top w:val="single" w:sz="4" w:space="0" w:color="auto"/>
              <w:left w:val="nil"/>
              <w:bottom w:val="nil"/>
              <w:right w:val="nil"/>
            </w:tcBorders>
            <w:vAlign w:val="bottom"/>
            <w:hideMark/>
          </w:tcPr>
          <w:p w14:paraId="51FF1292" w14:textId="77777777" w:rsidR="00AF5D9F" w:rsidRDefault="00AF5D9F">
            <w:pPr>
              <w:jc w:val="center"/>
              <w:rPr>
                <w:rFonts w:ascii="Arial" w:hAnsi="Arial" w:cs="Arial"/>
                <w:b/>
              </w:rPr>
            </w:pPr>
            <w:r>
              <w:rPr>
                <w:rFonts w:ascii="Arial" w:hAnsi="Arial" w:cs="Arial"/>
                <w:b/>
              </w:rPr>
              <w:t>Calendar Year</w:t>
            </w:r>
          </w:p>
        </w:tc>
        <w:tc>
          <w:tcPr>
            <w:tcW w:w="270" w:type="dxa"/>
            <w:tcBorders>
              <w:top w:val="single" w:sz="4" w:space="0" w:color="auto"/>
              <w:left w:val="nil"/>
              <w:bottom w:val="nil"/>
              <w:right w:val="nil"/>
            </w:tcBorders>
            <w:vAlign w:val="bottom"/>
          </w:tcPr>
          <w:p w14:paraId="41785A75" w14:textId="77777777" w:rsidR="00AF5D9F" w:rsidRDefault="00AF5D9F">
            <w:pPr>
              <w:rPr>
                <w:rFonts w:ascii="Arial" w:hAnsi="Arial" w:cs="Arial"/>
              </w:rPr>
            </w:pPr>
          </w:p>
        </w:tc>
        <w:tc>
          <w:tcPr>
            <w:tcW w:w="1440" w:type="dxa"/>
            <w:gridSpan w:val="2"/>
            <w:tcBorders>
              <w:top w:val="single" w:sz="4" w:space="0" w:color="auto"/>
              <w:left w:val="nil"/>
              <w:bottom w:val="nil"/>
              <w:right w:val="nil"/>
            </w:tcBorders>
            <w:vAlign w:val="bottom"/>
            <w:hideMark/>
          </w:tcPr>
          <w:p w14:paraId="4133182A" w14:textId="77777777" w:rsidR="00AF5D9F" w:rsidRDefault="00AF5D9F">
            <w:pPr>
              <w:jc w:val="center"/>
              <w:rPr>
                <w:rFonts w:ascii="Arial" w:hAnsi="Arial" w:cs="Arial"/>
                <w:b/>
              </w:rPr>
            </w:pPr>
            <w:r>
              <w:rPr>
                <w:rFonts w:ascii="Arial" w:hAnsi="Arial" w:cs="Arial"/>
                <w:b/>
              </w:rPr>
              <w:t>Calendar Year</w:t>
            </w:r>
          </w:p>
        </w:tc>
      </w:tr>
      <w:tr w:rsidR="00AF5D9F" w14:paraId="4131CCB8" w14:textId="77777777" w:rsidTr="00AF5D9F">
        <w:tc>
          <w:tcPr>
            <w:tcW w:w="5058" w:type="dxa"/>
            <w:vAlign w:val="bottom"/>
          </w:tcPr>
          <w:p w14:paraId="1AA39665" w14:textId="77777777" w:rsidR="00AF5D9F" w:rsidRDefault="00AF5D9F">
            <w:pPr>
              <w:rPr>
                <w:rFonts w:ascii="Arial" w:hAnsi="Arial" w:cs="Arial"/>
              </w:rPr>
            </w:pPr>
          </w:p>
        </w:tc>
        <w:tc>
          <w:tcPr>
            <w:tcW w:w="1440" w:type="dxa"/>
            <w:tcBorders>
              <w:top w:val="nil"/>
              <w:left w:val="nil"/>
              <w:bottom w:val="single" w:sz="4" w:space="0" w:color="auto"/>
              <w:right w:val="nil"/>
            </w:tcBorders>
            <w:vAlign w:val="bottom"/>
            <w:hideMark/>
          </w:tcPr>
          <w:p w14:paraId="10CD5BAA" w14:textId="3DF5802A" w:rsidR="00AF5D9F" w:rsidRDefault="00575808" w:rsidP="00856941">
            <w:pPr>
              <w:jc w:val="center"/>
              <w:rPr>
                <w:rFonts w:ascii="Arial" w:hAnsi="Arial" w:cs="Arial"/>
                <w:b/>
              </w:rPr>
            </w:pPr>
            <w:r>
              <w:rPr>
                <w:rFonts w:ascii="Arial" w:hAnsi="Arial" w:cs="Arial"/>
                <w:b/>
              </w:rPr>
              <w:t>202</w:t>
            </w:r>
            <w:r w:rsidR="00492D4B">
              <w:rPr>
                <w:rFonts w:ascii="Arial" w:hAnsi="Arial" w:cs="Arial"/>
                <w:b/>
              </w:rPr>
              <w:t>4</w:t>
            </w:r>
          </w:p>
        </w:tc>
        <w:tc>
          <w:tcPr>
            <w:tcW w:w="270" w:type="dxa"/>
            <w:vAlign w:val="bottom"/>
          </w:tcPr>
          <w:p w14:paraId="31423A5D" w14:textId="77777777" w:rsidR="00AF5D9F" w:rsidRDefault="00AF5D9F">
            <w:pPr>
              <w:rPr>
                <w:rFonts w:ascii="Arial" w:hAnsi="Arial" w:cs="Arial"/>
              </w:rPr>
            </w:pPr>
          </w:p>
        </w:tc>
        <w:tc>
          <w:tcPr>
            <w:tcW w:w="1440" w:type="dxa"/>
            <w:gridSpan w:val="2"/>
            <w:tcBorders>
              <w:top w:val="nil"/>
              <w:left w:val="nil"/>
              <w:bottom w:val="single" w:sz="4" w:space="0" w:color="auto"/>
              <w:right w:val="nil"/>
            </w:tcBorders>
            <w:vAlign w:val="bottom"/>
            <w:hideMark/>
          </w:tcPr>
          <w:p w14:paraId="54C5BEB3" w14:textId="2CB92DC8" w:rsidR="00AF5D9F" w:rsidRDefault="00CC1B06" w:rsidP="00856941">
            <w:pPr>
              <w:jc w:val="center"/>
              <w:rPr>
                <w:rFonts w:ascii="Arial" w:hAnsi="Arial" w:cs="Arial"/>
                <w:b/>
              </w:rPr>
            </w:pPr>
            <w:r>
              <w:rPr>
                <w:rFonts w:ascii="Arial" w:hAnsi="Arial" w:cs="Arial"/>
                <w:b/>
              </w:rPr>
              <w:t>202</w:t>
            </w:r>
            <w:r w:rsidR="00492D4B">
              <w:rPr>
                <w:rFonts w:ascii="Arial" w:hAnsi="Arial" w:cs="Arial"/>
                <w:b/>
              </w:rPr>
              <w:t>3</w:t>
            </w:r>
          </w:p>
        </w:tc>
      </w:tr>
      <w:tr w:rsidR="00AF5D9F" w14:paraId="3A6DBF40" w14:textId="77777777" w:rsidTr="00AF5D9F">
        <w:tc>
          <w:tcPr>
            <w:tcW w:w="5058" w:type="dxa"/>
            <w:vAlign w:val="bottom"/>
            <w:hideMark/>
          </w:tcPr>
          <w:p w14:paraId="2E8773B4" w14:textId="77777777" w:rsidR="00AF5D9F" w:rsidRDefault="00AF5D9F">
            <w:pPr>
              <w:rPr>
                <w:rFonts w:ascii="Arial" w:hAnsi="Arial" w:cs="Arial"/>
                <w:b/>
              </w:rPr>
            </w:pPr>
            <w:r>
              <w:rPr>
                <w:rFonts w:ascii="Arial" w:hAnsi="Arial" w:cs="Arial"/>
                <w:b/>
                <w:u w:val="single"/>
              </w:rPr>
              <w:t>General Fund</w:t>
            </w:r>
            <w:r>
              <w:rPr>
                <w:rFonts w:ascii="Arial" w:hAnsi="Arial" w:cs="Arial"/>
                <w:b/>
              </w:rPr>
              <w:t>:</w:t>
            </w:r>
          </w:p>
        </w:tc>
        <w:tc>
          <w:tcPr>
            <w:tcW w:w="1440" w:type="dxa"/>
            <w:vAlign w:val="bottom"/>
          </w:tcPr>
          <w:p w14:paraId="1D6E9776" w14:textId="77777777" w:rsidR="00AF5D9F" w:rsidRDefault="00AF5D9F">
            <w:pPr>
              <w:jc w:val="right"/>
              <w:rPr>
                <w:rFonts w:ascii="Arial" w:hAnsi="Arial" w:cs="Arial"/>
              </w:rPr>
            </w:pPr>
          </w:p>
        </w:tc>
        <w:tc>
          <w:tcPr>
            <w:tcW w:w="270" w:type="dxa"/>
            <w:vAlign w:val="bottom"/>
          </w:tcPr>
          <w:p w14:paraId="36B53FE4" w14:textId="77777777" w:rsidR="00AF5D9F" w:rsidRDefault="00AF5D9F">
            <w:pPr>
              <w:rPr>
                <w:rFonts w:ascii="Arial" w:hAnsi="Arial" w:cs="Arial"/>
              </w:rPr>
            </w:pPr>
          </w:p>
        </w:tc>
        <w:tc>
          <w:tcPr>
            <w:tcW w:w="1440" w:type="dxa"/>
            <w:gridSpan w:val="2"/>
            <w:vAlign w:val="bottom"/>
          </w:tcPr>
          <w:p w14:paraId="6260E63E" w14:textId="77777777" w:rsidR="00AF5D9F" w:rsidRDefault="00AF5D9F">
            <w:pPr>
              <w:jc w:val="right"/>
              <w:rPr>
                <w:rFonts w:ascii="Arial" w:hAnsi="Arial" w:cs="Arial"/>
              </w:rPr>
            </w:pPr>
          </w:p>
        </w:tc>
      </w:tr>
      <w:tr w:rsidR="00AF5D9F" w14:paraId="00D15504" w14:textId="77777777" w:rsidTr="00AF5D9F">
        <w:tc>
          <w:tcPr>
            <w:tcW w:w="5058" w:type="dxa"/>
            <w:vAlign w:val="bottom"/>
            <w:hideMark/>
          </w:tcPr>
          <w:p w14:paraId="1F4ED537" w14:textId="77777777" w:rsidR="00AF5D9F" w:rsidRDefault="00AF5D9F">
            <w:pPr>
              <w:rPr>
                <w:rFonts w:ascii="Arial" w:hAnsi="Arial" w:cs="Arial"/>
              </w:rPr>
            </w:pPr>
            <w:r>
              <w:rPr>
                <w:rFonts w:ascii="Arial" w:hAnsi="Arial" w:cs="Arial"/>
              </w:rPr>
              <w:t xml:space="preserve">  Health Assistance – County Nurse</w:t>
            </w:r>
          </w:p>
        </w:tc>
        <w:tc>
          <w:tcPr>
            <w:tcW w:w="1440" w:type="dxa"/>
            <w:vAlign w:val="bottom"/>
            <w:hideMark/>
          </w:tcPr>
          <w:p w14:paraId="2E566617" w14:textId="77777777" w:rsidR="00AF5D9F" w:rsidRDefault="00AF5D9F" w:rsidP="00FB1E44">
            <w:pPr>
              <w:rPr>
                <w:rFonts w:ascii="Arial" w:hAnsi="Arial" w:cs="Arial"/>
              </w:rPr>
            </w:pPr>
            <w:r>
              <w:rPr>
                <w:rFonts w:ascii="Arial" w:hAnsi="Arial" w:cs="Arial"/>
              </w:rPr>
              <w:t xml:space="preserve">$     </w:t>
            </w:r>
          </w:p>
        </w:tc>
        <w:tc>
          <w:tcPr>
            <w:tcW w:w="270" w:type="dxa"/>
            <w:vAlign w:val="bottom"/>
          </w:tcPr>
          <w:p w14:paraId="4397424B" w14:textId="77777777" w:rsidR="00AF5D9F" w:rsidRDefault="00AF5D9F">
            <w:pPr>
              <w:rPr>
                <w:rFonts w:ascii="Arial" w:hAnsi="Arial" w:cs="Arial"/>
              </w:rPr>
            </w:pPr>
          </w:p>
        </w:tc>
        <w:tc>
          <w:tcPr>
            <w:tcW w:w="1440" w:type="dxa"/>
            <w:gridSpan w:val="2"/>
            <w:vAlign w:val="bottom"/>
          </w:tcPr>
          <w:p w14:paraId="1CD70B18" w14:textId="77777777" w:rsidR="00AF5D9F" w:rsidRDefault="00FB1E44" w:rsidP="00FB1E44">
            <w:pPr>
              <w:rPr>
                <w:rFonts w:ascii="Arial" w:hAnsi="Arial" w:cs="Arial"/>
              </w:rPr>
            </w:pPr>
            <w:r>
              <w:rPr>
                <w:rFonts w:ascii="Arial" w:hAnsi="Arial" w:cs="Arial"/>
              </w:rPr>
              <w:t>$</w:t>
            </w:r>
          </w:p>
        </w:tc>
      </w:tr>
      <w:tr w:rsidR="00AF5D9F" w14:paraId="030345AB" w14:textId="77777777" w:rsidTr="00AF5D9F">
        <w:tc>
          <w:tcPr>
            <w:tcW w:w="5058" w:type="dxa"/>
            <w:vAlign w:val="bottom"/>
            <w:hideMark/>
          </w:tcPr>
          <w:p w14:paraId="79B71DE4" w14:textId="77777777" w:rsidR="00AF5D9F" w:rsidRDefault="00AF5D9F" w:rsidP="00AF5D9F">
            <w:pPr>
              <w:rPr>
                <w:rFonts w:ascii="Arial" w:hAnsi="Arial" w:cs="Arial"/>
              </w:rPr>
            </w:pPr>
            <w:r>
              <w:rPr>
                <w:rFonts w:ascii="Arial" w:hAnsi="Arial" w:cs="Arial"/>
              </w:rPr>
              <w:t xml:space="preserve">  _________ – ________</w:t>
            </w:r>
          </w:p>
        </w:tc>
        <w:tc>
          <w:tcPr>
            <w:tcW w:w="1440" w:type="dxa"/>
            <w:vAlign w:val="bottom"/>
            <w:hideMark/>
          </w:tcPr>
          <w:p w14:paraId="0102B0D0" w14:textId="77777777" w:rsidR="00AF5D9F" w:rsidRDefault="00AF5D9F" w:rsidP="00FB1E44">
            <w:pPr>
              <w:rPr>
                <w:rFonts w:ascii="Arial" w:hAnsi="Arial" w:cs="Arial"/>
              </w:rPr>
            </w:pPr>
            <w:r>
              <w:rPr>
                <w:rFonts w:ascii="Arial" w:hAnsi="Arial" w:cs="Arial"/>
              </w:rPr>
              <w:t xml:space="preserve">$ </w:t>
            </w:r>
          </w:p>
        </w:tc>
        <w:tc>
          <w:tcPr>
            <w:tcW w:w="270" w:type="dxa"/>
            <w:vAlign w:val="bottom"/>
          </w:tcPr>
          <w:p w14:paraId="5F45D9AD" w14:textId="77777777" w:rsidR="00AF5D9F" w:rsidRDefault="00AF5D9F">
            <w:pPr>
              <w:rPr>
                <w:rFonts w:ascii="Arial" w:hAnsi="Arial" w:cs="Arial"/>
              </w:rPr>
            </w:pPr>
          </w:p>
        </w:tc>
        <w:tc>
          <w:tcPr>
            <w:tcW w:w="1440" w:type="dxa"/>
            <w:gridSpan w:val="2"/>
            <w:vAlign w:val="bottom"/>
          </w:tcPr>
          <w:p w14:paraId="15BCB1F2" w14:textId="77777777" w:rsidR="00AF5D9F" w:rsidRDefault="00FB1E44" w:rsidP="00FB1E44">
            <w:pPr>
              <w:rPr>
                <w:rFonts w:ascii="Arial" w:hAnsi="Arial" w:cs="Arial"/>
              </w:rPr>
            </w:pPr>
            <w:r>
              <w:rPr>
                <w:rFonts w:ascii="Arial" w:hAnsi="Arial" w:cs="Arial"/>
              </w:rPr>
              <w:t>$</w:t>
            </w:r>
          </w:p>
        </w:tc>
      </w:tr>
      <w:tr w:rsidR="00AF5D9F" w14:paraId="06FB072D" w14:textId="77777777" w:rsidTr="00AF5D9F">
        <w:tc>
          <w:tcPr>
            <w:tcW w:w="5058" w:type="dxa"/>
            <w:vAlign w:val="bottom"/>
          </w:tcPr>
          <w:p w14:paraId="2F945FCE" w14:textId="77777777" w:rsidR="00AF5D9F" w:rsidRDefault="00AF5D9F">
            <w:pPr>
              <w:rPr>
                <w:rFonts w:ascii="Arial" w:hAnsi="Arial" w:cs="Arial"/>
              </w:rPr>
            </w:pPr>
          </w:p>
          <w:p w14:paraId="6A2C1B88" w14:textId="77777777" w:rsidR="00AF5D9F" w:rsidRDefault="00AF5D9F">
            <w:pPr>
              <w:rPr>
                <w:rFonts w:ascii="Arial" w:hAnsi="Arial" w:cs="Arial"/>
              </w:rPr>
            </w:pPr>
            <w:r>
              <w:rPr>
                <w:rFonts w:ascii="Arial" w:hAnsi="Arial" w:cs="Arial"/>
                <w:b/>
                <w:u w:val="single"/>
              </w:rPr>
              <w:t>Road and Bridge Fund</w:t>
            </w:r>
            <w:r>
              <w:rPr>
                <w:rFonts w:ascii="Arial" w:hAnsi="Arial" w:cs="Arial"/>
              </w:rPr>
              <w:t xml:space="preserve">:                                    </w:t>
            </w:r>
          </w:p>
          <w:p w14:paraId="39291C01" w14:textId="77777777" w:rsidR="00AF5D9F" w:rsidRDefault="00AF5D9F">
            <w:pPr>
              <w:rPr>
                <w:rFonts w:ascii="Arial" w:hAnsi="Arial" w:cs="Arial"/>
              </w:rPr>
            </w:pPr>
            <w:r>
              <w:rPr>
                <w:rFonts w:ascii="Arial" w:hAnsi="Arial" w:cs="Arial"/>
              </w:rPr>
              <w:t xml:space="preserve">  Highways and Bridges - Highways, Roads and                               </w:t>
            </w:r>
          </w:p>
          <w:p w14:paraId="792425E8" w14:textId="77777777" w:rsidR="00AF5D9F" w:rsidRDefault="00AF5D9F">
            <w:pPr>
              <w:rPr>
                <w:rFonts w:ascii="Arial" w:hAnsi="Arial" w:cs="Arial"/>
              </w:rPr>
            </w:pPr>
            <w:r>
              <w:rPr>
                <w:rFonts w:ascii="Arial" w:hAnsi="Arial" w:cs="Arial"/>
              </w:rPr>
              <w:t xml:space="preserve">    Bridges                                              </w:t>
            </w:r>
          </w:p>
          <w:p w14:paraId="7ACF236C" w14:textId="77777777" w:rsidR="00AF5D9F" w:rsidRDefault="00AF5D9F">
            <w:pPr>
              <w:rPr>
                <w:rFonts w:ascii="Arial" w:hAnsi="Arial" w:cs="Arial"/>
              </w:rPr>
            </w:pPr>
          </w:p>
        </w:tc>
        <w:tc>
          <w:tcPr>
            <w:tcW w:w="1440" w:type="dxa"/>
            <w:vAlign w:val="bottom"/>
            <w:hideMark/>
          </w:tcPr>
          <w:p w14:paraId="778EE708" w14:textId="77777777" w:rsidR="00AF5D9F" w:rsidRDefault="00AF5D9F" w:rsidP="00FB1E44">
            <w:pPr>
              <w:rPr>
                <w:rFonts w:ascii="Arial" w:hAnsi="Arial" w:cs="Arial"/>
              </w:rPr>
            </w:pPr>
            <w:r>
              <w:rPr>
                <w:rFonts w:ascii="Arial" w:hAnsi="Arial" w:cs="Arial"/>
              </w:rPr>
              <w:t xml:space="preserve">$ </w:t>
            </w:r>
          </w:p>
        </w:tc>
        <w:tc>
          <w:tcPr>
            <w:tcW w:w="270" w:type="dxa"/>
            <w:vAlign w:val="bottom"/>
            <w:hideMark/>
          </w:tcPr>
          <w:p w14:paraId="40422766" w14:textId="77777777" w:rsidR="00AF5D9F" w:rsidRDefault="00AF5D9F">
            <w:pPr>
              <w:rPr>
                <w:rFonts w:ascii="Arial" w:hAnsi="Arial" w:cs="Arial"/>
              </w:rPr>
            </w:pPr>
            <w:r>
              <w:rPr>
                <w:rFonts w:ascii="Arial" w:hAnsi="Arial" w:cs="Arial"/>
              </w:rPr>
              <w:t xml:space="preserve"> </w:t>
            </w:r>
          </w:p>
        </w:tc>
        <w:tc>
          <w:tcPr>
            <w:tcW w:w="1440" w:type="dxa"/>
            <w:gridSpan w:val="2"/>
            <w:vAlign w:val="bottom"/>
            <w:hideMark/>
          </w:tcPr>
          <w:p w14:paraId="44EE59E2" w14:textId="77777777" w:rsidR="00AF5D9F" w:rsidRDefault="00AF5D9F" w:rsidP="00FB1E44">
            <w:pPr>
              <w:rPr>
                <w:rFonts w:ascii="Arial" w:hAnsi="Arial" w:cs="Arial"/>
              </w:rPr>
            </w:pPr>
            <w:r>
              <w:rPr>
                <w:rFonts w:ascii="Arial" w:hAnsi="Arial" w:cs="Arial"/>
              </w:rPr>
              <w:t xml:space="preserve">$ </w:t>
            </w:r>
          </w:p>
        </w:tc>
      </w:tr>
    </w:tbl>
    <w:p w14:paraId="674EF52E" w14:textId="77777777" w:rsidR="00AF5D9F" w:rsidRDefault="00AF5D9F"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rPr>
      </w:pPr>
    </w:p>
    <w:p w14:paraId="5B20C984" w14:textId="77777777" w:rsidR="00AF5D9F" w:rsidRDefault="00AF5D9F" w:rsidP="00E674AF">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170" w:hanging="1170"/>
        <w:rPr>
          <w:rFonts w:ascii="Arial" w:hAnsi="Arial" w:cs="Arial"/>
        </w:rPr>
      </w:pPr>
    </w:p>
    <w:p w14:paraId="13DFA4B2" w14:textId="77777777" w:rsidR="009B396B" w:rsidRPr="005A1976" w:rsidRDefault="009B396B" w:rsidP="00AF5D9F">
      <w:pPr>
        <w:tabs>
          <w:tab w:val="left" w:pos="1080"/>
          <w:tab w:val="left" w:pos="1800"/>
          <w:tab w:val="left" w:pos="2400"/>
          <w:tab w:val="left" w:pos="3000"/>
          <w:tab w:val="left" w:pos="3600"/>
          <w:tab w:val="left" w:pos="4200"/>
          <w:tab w:val="left" w:pos="4800"/>
          <w:tab w:val="left" w:pos="5400"/>
          <w:tab w:val="left" w:pos="6000"/>
          <w:tab w:val="left" w:pos="6600"/>
          <w:tab w:val="left" w:pos="7200"/>
        </w:tabs>
        <w:ind w:left="1080" w:hanging="1080"/>
        <w:rPr>
          <w:rFonts w:ascii="Arial" w:hAnsi="Arial" w:cs="Arial"/>
        </w:rPr>
      </w:pPr>
      <w:r>
        <w:rPr>
          <w:rFonts w:ascii="Arial" w:hAnsi="Arial" w:cs="Arial"/>
        </w:rPr>
        <w:t>Note 3</w:t>
      </w:r>
      <w:r w:rsidRPr="005A1976">
        <w:rPr>
          <w:rFonts w:ascii="Arial" w:hAnsi="Arial" w:cs="Arial"/>
        </w:rPr>
        <w:tab/>
      </w:r>
      <w:r>
        <w:rPr>
          <w:rFonts w:ascii="Arial" w:hAnsi="Arial" w:cs="Arial"/>
        </w:rPr>
        <w:t>Other Comprehensive Basis of Accounting Modified Cash Basis</w:t>
      </w:r>
      <w:r w:rsidRPr="005A1976">
        <w:rPr>
          <w:rFonts w:ascii="Arial" w:hAnsi="Arial" w:cs="Arial"/>
        </w:rPr>
        <w:t>/Budgetary Accounting Basis</w:t>
      </w:r>
      <w:r w:rsidR="00AF5D9F">
        <w:rPr>
          <w:rFonts w:ascii="Arial" w:hAnsi="Arial" w:cs="Arial"/>
        </w:rPr>
        <w:t xml:space="preserve"> </w:t>
      </w:r>
      <w:r w:rsidRPr="005A1976">
        <w:rPr>
          <w:rFonts w:ascii="Arial" w:hAnsi="Arial" w:cs="Arial"/>
        </w:rPr>
        <w:t>Differences</w:t>
      </w:r>
    </w:p>
    <w:p w14:paraId="05BE0F0B" w14:textId="77777777" w:rsidR="009B396B" w:rsidRPr="005A1976"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p w14:paraId="6753CC52" w14:textId="77777777" w:rsidR="009B396B" w:rsidRDefault="009B396B" w:rsidP="00AF5D9F">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1080"/>
        <w:rPr>
          <w:rFonts w:ascii="Arial" w:hAnsi="Arial" w:cs="Arial"/>
        </w:rPr>
      </w:pPr>
      <w:r w:rsidRPr="005A1976">
        <w:rPr>
          <w:rFonts w:ascii="Arial" w:hAnsi="Arial" w:cs="Arial"/>
        </w:rPr>
        <w:tab/>
      </w:r>
      <w:r w:rsidR="00BD5FB0" w:rsidRPr="005A1976">
        <w:rPr>
          <w:rFonts w:ascii="Arial" w:hAnsi="Arial" w:cs="Arial"/>
        </w:rPr>
        <w:t xml:space="preserve">The financial statements prepared in conformity with </w:t>
      </w:r>
      <w:r w:rsidR="00BD5FB0">
        <w:rPr>
          <w:rFonts w:ascii="Arial" w:hAnsi="Arial" w:cs="Arial"/>
        </w:rPr>
        <w:t>USGAAP applied within the context of the modified cash basis of accounting</w:t>
      </w:r>
      <w:r w:rsidR="00BD5FB0" w:rsidRPr="005A1976">
        <w:rPr>
          <w:rFonts w:ascii="Arial" w:hAnsi="Arial" w:cs="Arial"/>
        </w:rPr>
        <w:t xml:space="preserve"> </w:t>
      </w:r>
      <w:r w:rsidRPr="005A1976">
        <w:rPr>
          <w:rFonts w:ascii="Arial" w:hAnsi="Arial" w:cs="Arial"/>
        </w:rPr>
        <w:t xml:space="preserve">present capital outlay expenditure information in a separate category of expenditures.  </w:t>
      </w:r>
      <w:r w:rsidR="00F93724" w:rsidRPr="005A1976">
        <w:rPr>
          <w:rFonts w:ascii="Arial" w:hAnsi="Arial" w:cs="Arial"/>
        </w:rPr>
        <w:t xml:space="preserve">Under the budgetary basis of accounting, capital outlay expenditures are reported within the function to which they relate.  For example, the purchase of a new </w:t>
      </w:r>
      <w:r w:rsidR="00F93724">
        <w:rPr>
          <w:rFonts w:ascii="Arial" w:hAnsi="Arial" w:cs="Arial"/>
        </w:rPr>
        <w:t>sheriff’s patrol car</w:t>
      </w:r>
      <w:r w:rsidR="00F93724" w:rsidRPr="005A1976">
        <w:rPr>
          <w:rFonts w:ascii="Arial" w:hAnsi="Arial" w:cs="Arial"/>
        </w:rPr>
        <w:t xml:space="preserve"> would be reported as a capital outlay expenditure on the Governmental Funds Statement of Revenues, Expenditures and Changes in Fund Balances, however in the Budgetary RSI Schedule, the purchase of a </w:t>
      </w:r>
      <w:r w:rsidR="00F93724">
        <w:rPr>
          <w:rFonts w:ascii="Arial" w:hAnsi="Arial" w:cs="Arial"/>
        </w:rPr>
        <w:t xml:space="preserve">new sheriff’s patrol car </w:t>
      </w:r>
      <w:r w:rsidR="00F93724" w:rsidRPr="005A1976">
        <w:rPr>
          <w:rFonts w:ascii="Arial" w:hAnsi="Arial" w:cs="Arial"/>
        </w:rPr>
        <w:t>would be reported as an expenditure of the Public Safety/</w:t>
      </w:r>
      <w:r w:rsidR="00F93724">
        <w:rPr>
          <w:rFonts w:ascii="Arial" w:hAnsi="Arial" w:cs="Arial"/>
        </w:rPr>
        <w:t xml:space="preserve">Law Enforcement </w:t>
      </w:r>
      <w:r w:rsidR="00F93724" w:rsidRPr="005A1976">
        <w:rPr>
          <w:rFonts w:ascii="Arial" w:hAnsi="Arial" w:cs="Arial"/>
        </w:rPr>
        <w:t xml:space="preserve">function of government, along with all other current </w:t>
      </w:r>
      <w:r w:rsidR="00F93724">
        <w:rPr>
          <w:rFonts w:ascii="Arial" w:hAnsi="Arial" w:cs="Arial"/>
        </w:rPr>
        <w:t>Law Enforcement Depart</w:t>
      </w:r>
      <w:r w:rsidR="00F93724" w:rsidRPr="005A1976">
        <w:rPr>
          <w:rFonts w:ascii="Arial" w:hAnsi="Arial" w:cs="Arial"/>
        </w:rPr>
        <w:t>ment related expenditures.</w:t>
      </w:r>
    </w:p>
    <w:p w14:paraId="14D24FE4" w14:textId="77777777" w:rsidR="00F93724" w:rsidRPr="005A1976" w:rsidRDefault="00F93724"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30" w:hanging="630"/>
        <w:rPr>
          <w:rFonts w:ascii="Arial" w:hAnsi="Arial" w:cs="Arial"/>
        </w:rPr>
      </w:pPr>
    </w:p>
    <w:sectPr w:rsidR="00F93724" w:rsidRPr="005A1976" w:rsidSect="00017398">
      <w:pgSz w:w="12240" w:h="15840" w:code="1"/>
      <w:pgMar w:top="1440" w:right="1440" w:bottom="1440" w:left="1440" w:header="720" w:footer="720" w:gutter="0"/>
      <w:paperSrc w:first="1" w:other="1"/>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AFA1" w14:textId="77777777" w:rsidR="00EE163E" w:rsidRDefault="00EE163E">
      <w:r>
        <w:separator/>
      </w:r>
    </w:p>
  </w:endnote>
  <w:endnote w:type="continuationSeparator" w:id="0">
    <w:p w14:paraId="2DE7F921" w14:textId="77777777" w:rsidR="00EE163E" w:rsidRDefault="00EE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9918" w14:textId="77777777" w:rsidR="00EE163E" w:rsidRDefault="00EE163E">
      <w:r>
        <w:separator/>
      </w:r>
    </w:p>
  </w:footnote>
  <w:footnote w:type="continuationSeparator" w:id="0">
    <w:p w14:paraId="49613DBF" w14:textId="77777777" w:rsidR="00EE163E" w:rsidRDefault="00EE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2503"/>
    <w:multiLevelType w:val="hybridMultilevel"/>
    <w:tmpl w:val="7292CA96"/>
    <w:lvl w:ilvl="0" w:tplc="E59E9DD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8817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D8"/>
    <w:rsid w:val="00017398"/>
    <w:rsid w:val="0003511A"/>
    <w:rsid w:val="0013460E"/>
    <w:rsid w:val="001D2F6A"/>
    <w:rsid w:val="00216B9B"/>
    <w:rsid w:val="00255757"/>
    <w:rsid w:val="002E56E2"/>
    <w:rsid w:val="003433EA"/>
    <w:rsid w:val="003A4AE6"/>
    <w:rsid w:val="00467BBC"/>
    <w:rsid w:val="00492D4B"/>
    <w:rsid w:val="004B4F5B"/>
    <w:rsid w:val="004B6881"/>
    <w:rsid w:val="004F2B20"/>
    <w:rsid w:val="00575808"/>
    <w:rsid w:val="00580969"/>
    <w:rsid w:val="006F2E63"/>
    <w:rsid w:val="00744C52"/>
    <w:rsid w:val="00753A94"/>
    <w:rsid w:val="00776D65"/>
    <w:rsid w:val="00791562"/>
    <w:rsid w:val="00803D81"/>
    <w:rsid w:val="00813045"/>
    <w:rsid w:val="00833004"/>
    <w:rsid w:val="00856941"/>
    <w:rsid w:val="00892A4A"/>
    <w:rsid w:val="00900CD8"/>
    <w:rsid w:val="00944E2E"/>
    <w:rsid w:val="009B396B"/>
    <w:rsid w:val="009F497A"/>
    <w:rsid w:val="00A6636A"/>
    <w:rsid w:val="00A85A3B"/>
    <w:rsid w:val="00AB2EB6"/>
    <w:rsid w:val="00AB416C"/>
    <w:rsid w:val="00AF5D9F"/>
    <w:rsid w:val="00B30D8C"/>
    <w:rsid w:val="00B809EF"/>
    <w:rsid w:val="00BD5FB0"/>
    <w:rsid w:val="00C3428B"/>
    <w:rsid w:val="00C76CC9"/>
    <w:rsid w:val="00CC1B06"/>
    <w:rsid w:val="00D566A2"/>
    <w:rsid w:val="00E53DE3"/>
    <w:rsid w:val="00E674AF"/>
    <w:rsid w:val="00E80FD4"/>
    <w:rsid w:val="00EA0305"/>
    <w:rsid w:val="00EA4919"/>
    <w:rsid w:val="00EE163E"/>
    <w:rsid w:val="00F516CF"/>
    <w:rsid w:val="00F93724"/>
    <w:rsid w:val="00FB1E44"/>
    <w:rsid w:val="00FD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F6EC364"/>
  <w15:docId w15:val="{1971D2B1-568E-4793-8E94-ADD8B00D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396B"/>
    <w:rPr>
      <w:rFonts w:ascii="Tahoma" w:hAnsi="Tahoma" w:cs="Tahoma"/>
      <w:sz w:val="16"/>
      <w:szCs w:val="16"/>
    </w:rPr>
  </w:style>
  <w:style w:type="paragraph" w:styleId="Header">
    <w:name w:val="header"/>
    <w:basedOn w:val="Normal"/>
    <w:rsid w:val="00776D65"/>
    <w:pPr>
      <w:tabs>
        <w:tab w:val="center" w:pos="4320"/>
        <w:tab w:val="right" w:pos="8640"/>
      </w:tabs>
    </w:pPr>
  </w:style>
  <w:style w:type="paragraph" w:styleId="Footer">
    <w:name w:val="footer"/>
    <w:basedOn w:val="Normal"/>
    <w:rsid w:val="00776D65"/>
    <w:pPr>
      <w:tabs>
        <w:tab w:val="center" w:pos="4320"/>
        <w:tab w:val="right" w:pos="8640"/>
      </w:tabs>
    </w:pPr>
  </w:style>
  <w:style w:type="table" w:styleId="TableGrid">
    <w:name w:val="Table Grid"/>
    <w:basedOn w:val="TableNormal"/>
    <w:uiPriority w:val="59"/>
    <w:rsid w:val="00AF5D9F"/>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_________________________ COUNTY</vt:lpstr>
    </vt:vector>
  </TitlesOfParts>
  <Company>State of South Dakota</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COUNTY</dc:title>
  <dc:creator>lgpr13595</dc:creator>
  <cp:lastModifiedBy>Fortin, Rod</cp:lastModifiedBy>
  <cp:revision>11</cp:revision>
  <dcterms:created xsi:type="dcterms:W3CDTF">2018-01-02T22:25:00Z</dcterms:created>
  <dcterms:modified xsi:type="dcterms:W3CDTF">2024-12-29T03:16:00Z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DLA Canned Report Draft</vt:lpwstr>
  </property>
  <property fmtid="{D5CDD505-2E9C-101B-9397-08002B2CF9AE}" pid="4" name="tabIndex">
    <vt:lpwstr>1200</vt:lpwstr>
  </property>
  <property fmtid="{D5CDD505-2E9C-101B-9397-08002B2CF9AE}" pid="5" name="workpaperIndex">
    <vt:lpwstr>1200.06</vt:lpwstr>
  </property>
</Properties>
</file>